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 Figure 6-9</w:t>
      </w:r>
    </w:p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Because heterogeneity was high, a sensitivity analysis were conducted to explore the sources of the heterogeneity. </w:t>
      </w:r>
      <w:r>
        <w:rPr>
          <w:rFonts w:hint="eastAsia" w:ascii="Times New Roman" w:hAnsi="Times New Roman" w:cs="Times New Roman"/>
          <w:color w:val="0000FF"/>
          <w:sz w:val="24"/>
          <w:szCs w:val="24"/>
          <w:lang w:val="en-US" w:eastAsia="zh-CN"/>
        </w:rPr>
        <w:t xml:space="preserve">Figure 6.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was &gt; 50 % for correlations between WA% and FEV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%pred in inspiration (P = 0.017,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index = 61.1%). </w:t>
      </w:r>
      <w:r>
        <w:rPr>
          <w:rFonts w:hint="eastAsia" w:ascii="Times New Roman" w:hAnsi="Times New Roman" w:cs="Times New Roman"/>
          <w:color w:val="0000FF"/>
          <w:sz w:val="24"/>
          <w:szCs w:val="24"/>
          <w:lang w:val="en-US" w:eastAsia="zh-CN"/>
        </w:rPr>
        <w:t>Figure 6.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ind w:left="420" w:hanging="420" w:hangingChars="20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68875" cy="3336290"/>
            <wp:effectExtent l="0" t="0" r="3175" b="16510"/>
            <wp:docPr id="1" name="图片 1" descr="%WA and FEV1%P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%WA and FEV1%Pr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8875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Because heterogeneity was high, a sensitivity analysis were conducted to explore the sources of the heterogeneity. </w:t>
      </w:r>
      <w:r>
        <w:rPr>
          <w:rFonts w:hint="eastAsia" w:ascii="Times New Roman" w:hAnsi="Times New Roman" w:cs="Times New Roman"/>
          <w:color w:val="0000FF"/>
          <w:sz w:val="24"/>
          <w:szCs w:val="24"/>
          <w:lang w:val="en-US" w:eastAsia="zh-CN"/>
        </w:rPr>
        <w:t xml:space="preserve">Figure 7.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was &gt; 50 % for correlations between WT and FEV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/FVC in inspiration ( P = 0.000,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=96.1%). 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73625" cy="3249295"/>
            <wp:effectExtent l="0" t="0" r="3175" b="8255"/>
            <wp:docPr id="5" name="图片 5" descr="W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3625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Because heterogeneity was high, a sensitivity analysis were conducted to explore the sources of the heterogeneity. </w:t>
      </w:r>
      <w:r>
        <w:rPr>
          <w:rFonts w:hint="eastAsia" w:ascii="Times New Roman" w:hAnsi="Times New Roman" w:cs="Times New Roman"/>
          <w:color w:val="0000FF"/>
          <w:sz w:val="24"/>
          <w:szCs w:val="24"/>
          <w:lang w:val="en-US" w:eastAsia="zh-CN"/>
        </w:rPr>
        <w:t xml:space="preserve">Figure 8.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was &gt; 50 % for correlations between AI and FEV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%pred in inspiration (P = 0.000,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= 90.7%).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53330" cy="3368675"/>
            <wp:effectExtent l="0" t="0" r="13970" b="3175"/>
            <wp:docPr id="6" name="图片 6" descr="AI and FEV1%P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I and FEV1%Pr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3330" cy="336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Because heterogeneity was high, a sensitivity analysis were conducted to explore the sources of the heterogeneity. </w:t>
      </w:r>
      <w:r>
        <w:rPr>
          <w:rFonts w:hint="eastAsia" w:ascii="Times New Roman" w:hAnsi="Times New Roman" w:cs="Times New Roman"/>
          <w:color w:val="0000FF"/>
          <w:sz w:val="24"/>
          <w:szCs w:val="24"/>
          <w:lang w:val="en-US" w:eastAsia="zh-CN"/>
        </w:rPr>
        <w:t xml:space="preserve">Figure 9.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was &gt; 50 % for correlations between AI and FEV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/FVC in inspiration (P = 0.031, 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index = 71.1%).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0150" cy="3340100"/>
            <wp:effectExtent l="0" t="0" r="0" b="12700"/>
            <wp:docPr id="7" name="图片 7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1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5B21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Dr. YanWang</cp:lastModifiedBy>
  <dcterms:modified xsi:type="dcterms:W3CDTF">2019-09-11T15:41:23Z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